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E6" w:rsidRDefault="00644AE6" w:rsidP="00644AE6">
      <w:pPr>
        <w:pStyle w:val="1"/>
      </w:pPr>
      <w:r>
        <w:t>(96-14-0 )3-甲基戊烷的理化及危险特性表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644AE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标</w:t>
            </w:r>
          </w:p>
          <w:p w:rsidR="00644AE6" w:rsidRDefault="00644AE6" w:rsidP="0090435F">
            <w:pPr>
              <w:spacing w:line="266"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中文名：</w:t>
            </w:r>
            <w:r>
              <w:rPr>
                <w:rFonts w:ascii="宋体" w:hAnsi="宋体" w:hint="eastAsia"/>
                <w:szCs w:val="18"/>
              </w:rPr>
              <w:t>3-甲基戊烷</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3-methyl pentane </w:t>
            </w:r>
          </w:p>
        </w:tc>
      </w:tr>
      <w:tr w:rsidR="00644AE6" w:rsidTr="0090435F">
        <w:trPr>
          <w:cantSplit/>
          <w:jc w:val="center"/>
        </w:trPr>
        <w:tc>
          <w:tcPr>
            <w:tcW w:w="489" w:type="dxa"/>
            <w:vMerge/>
            <w:tcBorders>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p>
        </w:tc>
        <w:tc>
          <w:tcPr>
            <w:tcW w:w="2276"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FF6600"/>
              </w:rPr>
            </w:pPr>
            <w:r>
              <w:rPr>
                <w:rFonts w:ascii="宋体" w:hAnsi="宋体" w:hint="eastAsia"/>
              </w:rPr>
              <w:t>分子量：86.18</w:t>
            </w:r>
          </w:p>
        </w:tc>
        <w:tc>
          <w:tcPr>
            <w:tcW w:w="2170"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UN编号：1208</w:t>
            </w:r>
          </w:p>
        </w:tc>
      </w:tr>
      <w:tr w:rsidR="00644AE6" w:rsidTr="0090435F">
        <w:trPr>
          <w:cantSplit/>
          <w:jc w:val="center"/>
        </w:trPr>
        <w:tc>
          <w:tcPr>
            <w:tcW w:w="489" w:type="dxa"/>
            <w:vMerge/>
            <w:tcBorders>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危规号： 32005</w:t>
            </w:r>
          </w:p>
        </w:tc>
        <w:tc>
          <w:tcPr>
            <w:tcW w:w="2170"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CAS号：</w:t>
            </w:r>
            <w:r>
              <w:rPr>
                <w:rFonts w:ascii="宋体" w:hAnsi="宋体" w:hint="eastAsia"/>
                <w:szCs w:val="18"/>
              </w:rPr>
              <w:t>96-14-0 </w:t>
            </w:r>
          </w:p>
        </w:tc>
      </w:tr>
      <w:tr w:rsidR="00644AE6" w:rsidTr="0090435F">
        <w:trPr>
          <w:cantSplit/>
          <w:jc w:val="center"/>
        </w:trPr>
        <w:tc>
          <w:tcPr>
            <w:tcW w:w="489" w:type="dxa"/>
            <w:vMerge/>
            <w:tcBorders>
              <w:left w:val="single" w:sz="4" w:space="0" w:color="auto"/>
              <w:bottom w:val="nil"/>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包装类别： Ⅱ类</w:t>
            </w:r>
          </w:p>
        </w:tc>
      </w:tr>
      <w:tr w:rsidR="00644AE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理</w:t>
            </w:r>
          </w:p>
          <w:p w:rsidR="00644AE6" w:rsidRDefault="00644AE6" w:rsidP="0090435F">
            <w:pPr>
              <w:spacing w:line="266" w:lineRule="exact"/>
              <w:rPr>
                <w:rFonts w:ascii="宋体" w:hAnsi="宋体"/>
              </w:rPr>
            </w:pPr>
            <w:r>
              <w:rPr>
                <w:rFonts w:ascii="宋体" w:hAnsi="宋体" w:hint="eastAsia"/>
              </w:rPr>
              <w:t>化</w:t>
            </w:r>
          </w:p>
          <w:p w:rsidR="00644AE6" w:rsidRDefault="00644AE6" w:rsidP="0090435F">
            <w:pPr>
              <w:spacing w:line="266" w:lineRule="exact"/>
              <w:rPr>
                <w:rFonts w:ascii="宋体" w:hAnsi="宋体"/>
              </w:rPr>
            </w:pPr>
            <w:r>
              <w:rPr>
                <w:rFonts w:ascii="宋体" w:hAnsi="宋体" w:hint="eastAsia"/>
              </w:rPr>
              <w:t>性</w:t>
            </w:r>
          </w:p>
          <w:p w:rsidR="00644AE6" w:rsidRDefault="00644AE6"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无色透明液体。</w:t>
            </w:r>
          </w:p>
        </w:tc>
      </w:tr>
      <w:tr w:rsidR="00644A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溶解性 ：</w:t>
            </w:r>
            <w:r>
              <w:rPr>
                <w:rFonts w:ascii="宋体" w:hAnsi="宋体" w:hint="eastAsia"/>
                <w:szCs w:val="18"/>
              </w:rPr>
              <w:t>不溶于水，微溶于乙醚、丙酮、苯，溶于乙醇。</w:t>
            </w:r>
          </w:p>
        </w:tc>
      </w:tr>
      <w:tr w:rsidR="00644A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熔点（℃）：-118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沸点（℃）：</w:t>
            </w:r>
            <w:r>
              <w:rPr>
                <w:rFonts w:ascii="宋体" w:hAnsi="宋体" w:hint="eastAsia"/>
                <w:color w:val="000000"/>
                <w:szCs w:val="18"/>
              </w:rPr>
              <w:t>63.3</w:t>
            </w:r>
          </w:p>
        </w:tc>
      </w:tr>
      <w:tr w:rsidR="00644A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相对密度（水＝1）：</w:t>
            </w:r>
            <w:r>
              <w:rPr>
                <w:rFonts w:ascii="宋体" w:hAnsi="宋体" w:hint="eastAsia"/>
                <w:szCs w:val="18"/>
              </w:rPr>
              <w:t>0.66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相对密度（空气＝1）：2.97</w:t>
            </w:r>
          </w:p>
        </w:tc>
      </w:tr>
      <w:tr w:rsidR="00644A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:13.33（10.5℃）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燃烧热（kJ/mol）：无资料</w:t>
            </w:r>
          </w:p>
        </w:tc>
      </w:tr>
      <w:tr w:rsidR="00644AE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临界温度（℃）：213.5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临界压力（MPa）：3.12</w:t>
            </w:r>
          </w:p>
        </w:tc>
      </w:tr>
      <w:tr w:rsidR="00644AE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燃</w:t>
            </w:r>
          </w:p>
          <w:p w:rsidR="00644AE6" w:rsidRDefault="00644AE6" w:rsidP="0090435F">
            <w:pPr>
              <w:spacing w:line="266" w:lineRule="exact"/>
              <w:rPr>
                <w:rFonts w:ascii="宋体" w:hAnsi="宋体"/>
              </w:rPr>
            </w:pPr>
            <w:r>
              <w:rPr>
                <w:rFonts w:ascii="宋体" w:hAnsi="宋体" w:hint="eastAsia"/>
              </w:rPr>
              <w:t>烧</w:t>
            </w:r>
          </w:p>
          <w:p w:rsidR="00644AE6" w:rsidRDefault="00644AE6" w:rsidP="0090435F">
            <w:pPr>
              <w:spacing w:line="266" w:lineRule="exact"/>
              <w:rPr>
                <w:rFonts w:ascii="宋体" w:hAnsi="宋体"/>
              </w:rPr>
            </w:pPr>
            <w:r>
              <w:rPr>
                <w:rFonts w:ascii="宋体" w:hAnsi="宋体" w:hint="eastAsia"/>
              </w:rPr>
              <w:t>爆</w:t>
            </w:r>
          </w:p>
          <w:p w:rsidR="00644AE6" w:rsidRDefault="00644AE6" w:rsidP="0090435F">
            <w:pPr>
              <w:spacing w:line="266" w:lineRule="exact"/>
              <w:rPr>
                <w:rFonts w:ascii="宋体" w:hAnsi="宋体"/>
              </w:rPr>
            </w:pPr>
            <w:r>
              <w:rPr>
                <w:rFonts w:ascii="宋体" w:hAnsi="宋体" w:hint="eastAsia"/>
              </w:rPr>
              <w:t>炸</w:t>
            </w:r>
          </w:p>
          <w:p w:rsidR="00644AE6" w:rsidRDefault="00644AE6" w:rsidP="0090435F">
            <w:pPr>
              <w:spacing w:line="266" w:lineRule="exact"/>
              <w:rPr>
                <w:rFonts w:ascii="宋体" w:hAnsi="宋体"/>
              </w:rPr>
            </w:pPr>
            <w:r>
              <w:rPr>
                <w:rFonts w:ascii="宋体" w:hAnsi="宋体" w:hint="eastAsia"/>
              </w:rPr>
              <w:t>危</w:t>
            </w:r>
          </w:p>
          <w:p w:rsidR="00644AE6" w:rsidRDefault="00644AE6" w:rsidP="0090435F">
            <w:pPr>
              <w:spacing w:line="266" w:lineRule="exact"/>
              <w:rPr>
                <w:rFonts w:ascii="宋体" w:hAnsi="宋体"/>
              </w:rPr>
            </w:pPr>
            <w:r>
              <w:rPr>
                <w:rFonts w:ascii="宋体" w:hAnsi="宋体" w:hint="eastAsia"/>
              </w:rPr>
              <w:t>险</w:t>
            </w:r>
          </w:p>
          <w:p w:rsidR="00644AE6" w:rsidRDefault="00644AE6" w:rsidP="0090435F">
            <w:pPr>
              <w:spacing w:line="266"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闪点（℃）：-6.6</w:t>
            </w:r>
          </w:p>
        </w:tc>
      </w:tr>
      <w:tr w:rsidR="00644AE6" w:rsidTr="0090435F">
        <w:trPr>
          <w:cantSplit/>
          <w:jc w:val="center"/>
        </w:trPr>
        <w:tc>
          <w:tcPr>
            <w:tcW w:w="489" w:type="dxa"/>
            <w:vMerge/>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vertAlign w:val="superscript"/>
              </w:rPr>
            </w:pPr>
            <w:r>
              <w:rPr>
                <w:rFonts w:ascii="宋体" w:hAnsi="宋体" w:hint="eastAsia"/>
                <w:color w:val="000000"/>
              </w:rPr>
              <w:t>爆炸下限（%）：1.0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爆炸上限（%）：7.0</w:t>
            </w:r>
          </w:p>
        </w:tc>
      </w:tr>
      <w:tr w:rsidR="00644AE6" w:rsidTr="0090435F">
        <w:trPr>
          <w:cantSplit/>
          <w:jc w:val="center"/>
        </w:trPr>
        <w:tc>
          <w:tcPr>
            <w:tcW w:w="489" w:type="dxa"/>
            <w:vMerge/>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引燃温度（℃）：306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最小点火能（mJ）：无资料</w:t>
            </w:r>
          </w:p>
        </w:tc>
      </w:tr>
      <w:tr w:rsidR="00644AE6" w:rsidTr="0090435F">
        <w:trPr>
          <w:cantSplit/>
          <w:jc w:val="center"/>
        </w:trPr>
        <w:tc>
          <w:tcPr>
            <w:tcW w:w="489" w:type="dxa"/>
            <w:vMerge/>
            <w:tcBorders>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 xml:space="preserve">稳定性：稳定 </w:t>
            </w:r>
          </w:p>
        </w:tc>
      </w:tr>
      <w:tr w:rsidR="00644AE6" w:rsidTr="0090435F">
        <w:trPr>
          <w:cantSplit/>
          <w:jc w:val="center"/>
        </w:trPr>
        <w:tc>
          <w:tcPr>
            <w:tcW w:w="489" w:type="dxa"/>
            <w:vMerge/>
            <w:tcBorders>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644AE6" w:rsidTr="0090435F">
        <w:trPr>
          <w:cantSplit/>
          <w:jc w:val="center"/>
        </w:trPr>
        <w:tc>
          <w:tcPr>
            <w:tcW w:w="489" w:type="dxa"/>
            <w:vMerge/>
            <w:tcBorders>
              <w:left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szCs w:val="18"/>
              </w:rPr>
              <w:t>禁忌物：强氧化剂。</w:t>
            </w:r>
          </w:p>
        </w:tc>
      </w:tr>
      <w:tr w:rsidR="00644AE6" w:rsidTr="0090435F">
        <w:trPr>
          <w:cantSplit/>
          <w:jc w:val="center"/>
        </w:trPr>
        <w:tc>
          <w:tcPr>
            <w:tcW w:w="489" w:type="dxa"/>
            <w:vMerge/>
            <w:tcBorders>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szCs w:val="18"/>
              </w:rPr>
              <w:t>危险特性: 其蒸气与空气可形成爆炸性混合物，遇热源和明火有燃烧爆炸的危险。与氧化剂接触发生化学反应或引起燃烧。其蒸气比空气重，能在较低处扩散到相当远的地方，遇火源会着火回燃。</w:t>
            </w:r>
          </w:p>
        </w:tc>
      </w:tr>
      <w:tr w:rsidR="00644AE6" w:rsidTr="0090435F">
        <w:trPr>
          <w:cantSplit/>
          <w:jc w:val="center"/>
        </w:trPr>
        <w:tc>
          <w:tcPr>
            <w:tcW w:w="489" w:type="dxa"/>
            <w:vMerge/>
            <w:tcBorders>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644A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毒</w:t>
            </w:r>
          </w:p>
          <w:p w:rsidR="00644AE6" w:rsidRDefault="00644AE6"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44AE6" w:rsidRDefault="00644AE6"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44AE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侵入途经：吸入、食入、经皮吸收。</w:t>
            </w:r>
          </w:p>
        </w:tc>
      </w:tr>
      <w:tr w:rsidR="00644AE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szCs w:val="18"/>
              </w:rPr>
              <w:t>对眼睛、粘膜、呼吸道及皮肤有刺激性，接触后可引起烧灼感、咳嗽、喘息、喉炎、气短、头痛、恶心和呕吐。</w:t>
            </w:r>
          </w:p>
        </w:tc>
      </w:tr>
      <w:tr w:rsidR="00644AE6" w:rsidTr="0090435F">
        <w:trPr>
          <w:cantSplit/>
          <w:jc w:val="center"/>
        </w:trPr>
        <w:tc>
          <w:tcPr>
            <w:tcW w:w="489" w:type="dxa"/>
            <w:tcBorders>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急</w:t>
            </w:r>
          </w:p>
          <w:p w:rsidR="00644AE6" w:rsidRDefault="00644AE6"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皮肤接触：脱去污染的衣着，用肥皂水和清水彻底冲洗皮肤。   ※眼睛接触：提起眼睑，用流动清水或生理盐水冲洗。就医。   ※吸入: 迅速脱离现场</w:t>
            </w:r>
            <w:r>
              <w:rPr>
                <w:rFonts w:ascii="宋体" w:hAnsi="宋体" w:hint="eastAsia"/>
                <w:szCs w:val="18"/>
              </w:rPr>
              <w:t>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644A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防</w:t>
            </w:r>
          </w:p>
          <w:p w:rsidR="00644AE6" w:rsidRDefault="00644AE6"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※呼吸系统防护：空气中浓度超标时，佩戴自吸过滤式防毒面具（半面罩）。    ※</w:t>
            </w:r>
            <w:r>
              <w:rPr>
                <w:rFonts w:ascii="宋体" w:hAnsi="宋体"/>
                <w:szCs w:val="18"/>
              </w:rPr>
              <w:t>眼睛防护</w:t>
            </w:r>
            <w:r>
              <w:rPr>
                <w:rFonts w:ascii="宋体" w:hAnsi="宋体" w:hint="eastAsia"/>
                <w:szCs w:val="18"/>
              </w:rPr>
              <w:t>：一般不需要特殊防护，高浓度接触时可戴化学安全防护眼镜。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644A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泄</w:t>
            </w:r>
          </w:p>
          <w:p w:rsidR="00644AE6" w:rsidRDefault="00644AE6" w:rsidP="0090435F">
            <w:pPr>
              <w:spacing w:line="266" w:lineRule="exact"/>
              <w:rPr>
                <w:rFonts w:ascii="宋体" w:hAnsi="宋体"/>
              </w:rPr>
            </w:pPr>
            <w:r>
              <w:rPr>
                <w:rFonts w:ascii="宋体" w:hAnsi="宋体" w:hint="eastAsia"/>
              </w:rPr>
              <w:t>漏</w:t>
            </w:r>
          </w:p>
          <w:p w:rsidR="00644AE6" w:rsidRDefault="00644AE6" w:rsidP="0090435F">
            <w:pPr>
              <w:spacing w:line="266" w:lineRule="exact"/>
              <w:rPr>
                <w:rFonts w:ascii="宋体" w:hAnsi="宋体"/>
              </w:rPr>
            </w:pPr>
            <w:r>
              <w:rPr>
                <w:rFonts w:ascii="宋体" w:hAnsi="宋体" w:hint="eastAsia"/>
              </w:rPr>
              <w:t>处</w:t>
            </w:r>
          </w:p>
          <w:p w:rsidR="00644AE6" w:rsidRDefault="00644AE6"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大量泄漏：构筑围堤或挖坑收容。用泡沫覆盖，降低蒸气灾害。用防爆泵转移至槽车或专用收集器内，回收或运至废物处理场所处置。</w:t>
            </w:r>
          </w:p>
        </w:tc>
      </w:tr>
      <w:tr w:rsidR="00644AE6" w:rsidTr="0090435F">
        <w:trPr>
          <w:cantSplit/>
          <w:jc w:val="center"/>
        </w:trPr>
        <w:tc>
          <w:tcPr>
            <w:tcW w:w="489" w:type="dxa"/>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rPr>
            </w:pPr>
            <w:r>
              <w:rPr>
                <w:rFonts w:ascii="宋体" w:hAnsi="宋体" w:hint="eastAsia"/>
              </w:rPr>
              <w:t>储</w:t>
            </w:r>
          </w:p>
          <w:p w:rsidR="00644AE6" w:rsidRDefault="00644AE6"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44AE6" w:rsidRDefault="00644AE6"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644AE6" w:rsidRDefault="00644AE6"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E6"/>
    <w:rsid w:val="00644AE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08992-6D16-4813-A3CE-3B3F8BAD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44AE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44AE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Company>zyhq</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